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76DC" w:rsidRDefault="004076DC" w:rsidP="004076DC">
      <w:pPr>
        <w:keepNext/>
        <w:spacing w:after="0" w:line="260" w:lineRule="exact"/>
        <w:ind w:left="432" w:hanging="432"/>
        <w:outlineLvl w:val="0"/>
        <w:rPr>
          <w:rFonts w:ascii="Arial" w:eastAsia="Times New Roman" w:hAnsi="Arial" w:cs="Arial"/>
          <w:b/>
          <w:kern w:val="32"/>
          <w:lang w:eastAsia="sl-SI"/>
        </w:rPr>
      </w:pPr>
    </w:p>
    <w:p w:rsidR="004076DC" w:rsidRPr="004076DC" w:rsidRDefault="004076DC" w:rsidP="004076DC">
      <w:pPr>
        <w:keepNext/>
        <w:spacing w:after="0" w:line="260" w:lineRule="exact"/>
        <w:ind w:left="432" w:hanging="432"/>
        <w:outlineLvl w:val="0"/>
        <w:rPr>
          <w:rFonts w:ascii="Arial" w:eastAsia="Times New Roman" w:hAnsi="Arial" w:cs="Arial"/>
          <w:b/>
          <w:bCs/>
          <w:kern w:val="32"/>
          <w:lang w:eastAsia="sl-SI"/>
        </w:rPr>
      </w:pPr>
      <w:r w:rsidRPr="004076DC">
        <w:rPr>
          <w:rFonts w:ascii="Arial" w:eastAsia="Times New Roman" w:hAnsi="Arial" w:cs="Arial"/>
          <w:b/>
          <w:kern w:val="32"/>
          <w:lang w:eastAsia="sl-SI"/>
        </w:rPr>
        <w:t>OPIS PREDMETA JAVNEGA NAROČILA IN ZAHTEVE NAROČNIKA</w:t>
      </w:r>
    </w:p>
    <w:p w:rsidR="004076DC" w:rsidRPr="004076DC" w:rsidRDefault="004076DC" w:rsidP="004076DC">
      <w:pPr>
        <w:spacing w:after="0" w:line="260" w:lineRule="exact"/>
        <w:jc w:val="both"/>
        <w:rPr>
          <w:rFonts w:ascii="Arial" w:eastAsia="Times New Roman" w:hAnsi="Arial" w:cs="Arial"/>
          <w:b/>
          <w:lang w:eastAsia="sl-SI"/>
        </w:rPr>
      </w:pPr>
    </w:p>
    <w:p w:rsidR="004076DC" w:rsidRPr="004076DC" w:rsidRDefault="004076DC" w:rsidP="004076DC">
      <w:pPr>
        <w:keepNext/>
        <w:spacing w:after="0" w:line="260" w:lineRule="exact"/>
        <w:contextualSpacing/>
        <w:jc w:val="both"/>
        <w:rPr>
          <w:rFonts w:ascii="Arial" w:eastAsia="Times New Roman" w:hAnsi="Arial" w:cs="Arial"/>
        </w:rPr>
      </w:pPr>
    </w:p>
    <w:p w:rsidR="004076DC" w:rsidRPr="004076DC" w:rsidRDefault="004076DC" w:rsidP="004076DC">
      <w:pPr>
        <w:keepNext/>
        <w:numPr>
          <w:ilvl w:val="0"/>
          <w:numId w:val="1"/>
        </w:numPr>
        <w:spacing w:after="0" w:line="260" w:lineRule="exact"/>
        <w:ind w:left="284" w:hanging="284"/>
        <w:outlineLvl w:val="1"/>
        <w:rPr>
          <w:rFonts w:ascii="Arial" w:eastAsia="Times New Roman" w:hAnsi="Arial" w:cs="Times New Roman"/>
          <w:b/>
          <w:bCs/>
          <w:iCs/>
          <w:sz w:val="20"/>
          <w:szCs w:val="20"/>
          <w:lang w:eastAsia="sl-SI"/>
        </w:rPr>
      </w:pPr>
      <w:bookmarkStart w:id="0" w:name="_Toc60984872"/>
      <w:r w:rsidRPr="004076DC">
        <w:rPr>
          <w:rFonts w:ascii="Arial" w:eastAsia="Times New Roman" w:hAnsi="Arial" w:cs="Times New Roman"/>
          <w:b/>
          <w:bCs/>
          <w:iCs/>
          <w:sz w:val="20"/>
          <w:szCs w:val="20"/>
          <w:lang w:eastAsia="sl-SI"/>
        </w:rPr>
        <w:t>PREDMET JAVNEGA NAROČILA</w:t>
      </w:r>
      <w:bookmarkEnd w:id="0"/>
    </w:p>
    <w:p w:rsidR="004076DC" w:rsidRPr="004076DC" w:rsidRDefault="004076DC" w:rsidP="004076DC">
      <w:pPr>
        <w:spacing w:after="0" w:line="260" w:lineRule="exact"/>
        <w:ind w:left="360"/>
        <w:jc w:val="both"/>
        <w:rPr>
          <w:rFonts w:ascii="Arial" w:eastAsia="Times New Roman" w:hAnsi="Arial" w:cs="Arial"/>
          <w:b/>
          <w:sz w:val="20"/>
          <w:szCs w:val="20"/>
          <w:lang w:eastAsia="sl-SI"/>
        </w:rPr>
      </w:pPr>
    </w:p>
    <w:p w:rsidR="004076DC" w:rsidRPr="004076DC" w:rsidRDefault="004076DC" w:rsidP="004076DC">
      <w:pPr>
        <w:keepNext/>
        <w:spacing w:after="0" w:line="260" w:lineRule="exact"/>
        <w:jc w:val="both"/>
        <w:outlineLvl w:val="1"/>
        <w:rPr>
          <w:rFonts w:ascii="Arial" w:eastAsia="Times New Roman" w:hAnsi="Arial" w:cs="Arial"/>
          <w:sz w:val="20"/>
          <w:szCs w:val="20"/>
          <w:lang w:eastAsia="sl-SI"/>
        </w:rPr>
      </w:pPr>
      <w:r w:rsidRPr="004076DC">
        <w:rPr>
          <w:rFonts w:ascii="Arial" w:eastAsia="Times New Roman" w:hAnsi="Arial" w:cs="Arial"/>
          <w:sz w:val="20"/>
          <w:szCs w:val="20"/>
          <w:lang w:eastAsia="sl-SI"/>
        </w:rPr>
        <w:t>Predmet javnega naročila Razvoj aplikacij, njihovih potrebnih nadgradenj, prilagajanje spremenjenim oz. novim zahtevam ter njihovo vzdrževanje za potrebe Evropskega sistema za potovalne informacije in odobritve (v nadaljevanju ETIAS).</w:t>
      </w:r>
    </w:p>
    <w:p w:rsidR="004076DC" w:rsidRPr="004076DC" w:rsidRDefault="004076DC" w:rsidP="004076DC">
      <w:pPr>
        <w:spacing w:after="0" w:line="240" w:lineRule="atLeast"/>
        <w:rPr>
          <w:rFonts w:ascii="Times New Roman" w:eastAsia="Times New Roman" w:hAnsi="Times New Roman" w:cs="Times New Roman"/>
          <w:lang w:eastAsia="sl-SI"/>
        </w:rPr>
      </w:pPr>
    </w:p>
    <w:p w:rsidR="004076DC" w:rsidRPr="004076DC" w:rsidRDefault="004076DC" w:rsidP="004076DC">
      <w:pPr>
        <w:spacing w:after="0" w:line="260" w:lineRule="exact"/>
        <w:jc w:val="both"/>
        <w:rPr>
          <w:rFonts w:ascii="Arial" w:eastAsia="Times New Roman" w:hAnsi="Arial" w:cs="Arial"/>
          <w:sz w:val="20"/>
          <w:szCs w:val="20"/>
        </w:rPr>
      </w:pPr>
      <w:r w:rsidRPr="004076DC">
        <w:rPr>
          <w:rFonts w:ascii="Arial" w:eastAsia="Times New Roman" w:hAnsi="Arial" w:cs="Arial"/>
          <w:sz w:val="20"/>
          <w:szCs w:val="20"/>
        </w:rPr>
        <w:t>Predmetno javno naročilo se izvaja za obdobje 5 let</w:t>
      </w:r>
      <w:r w:rsidRPr="004076DC">
        <w:rPr>
          <w:rFonts w:ascii="Arial" w:eastAsia="Times New Roman" w:hAnsi="Arial" w:cs="Arial"/>
          <w:sz w:val="20"/>
          <w:szCs w:val="20"/>
          <w:lang w:eastAsia="sl-SI"/>
        </w:rPr>
        <w:t xml:space="preserve"> oziroma do porabe sredstev okvirne pogodbene vrednosti.</w:t>
      </w:r>
    </w:p>
    <w:p w:rsidR="004076DC" w:rsidRPr="004076DC" w:rsidRDefault="004076DC" w:rsidP="004076DC">
      <w:pPr>
        <w:spacing w:after="0" w:line="260" w:lineRule="exact"/>
        <w:jc w:val="both"/>
        <w:rPr>
          <w:rFonts w:ascii="Arial" w:eastAsia="Calibri" w:hAnsi="Arial" w:cs="Arial"/>
          <w:sz w:val="20"/>
          <w:szCs w:val="20"/>
          <w:lang w:eastAsia="sl-SI"/>
        </w:rPr>
      </w:pPr>
    </w:p>
    <w:p w:rsidR="004076DC" w:rsidRPr="004076DC" w:rsidRDefault="004076DC" w:rsidP="004076DC">
      <w:pPr>
        <w:spacing w:after="0" w:line="260" w:lineRule="exact"/>
        <w:jc w:val="both"/>
        <w:rPr>
          <w:rFonts w:ascii="Arial" w:eastAsia="Times New Roman" w:hAnsi="Arial" w:cs="Arial"/>
          <w:sz w:val="20"/>
          <w:szCs w:val="20"/>
          <w:lang w:eastAsia="sl-SI"/>
        </w:rPr>
      </w:pPr>
      <w:r w:rsidRPr="004076DC">
        <w:rPr>
          <w:rFonts w:ascii="Arial" w:eastAsia="Calibri" w:hAnsi="Arial" w:cs="Arial"/>
          <w:sz w:val="20"/>
          <w:szCs w:val="20"/>
          <w:lang w:eastAsia="sl-SI"/>
        </w:rPr>
        <w:t xml:space="preserve">Natančen opis predvidenih storitev predmeta okvirnega sporazuma je opredeljen v tehnični specifikaciji -  Prilogi št. 6.1 razpisne dokumentacije, elektronskih tehničnih specifikacijah, ETIAS Interface Control Document (ICD), ETIAS MS-NUI Connectivity Guide, Roles and Profiles Specifications, ETIAS Test Design Description for CT in IO ESP ICD External. Do elektronskih tehničnih specifikacij bo potencialnim ponudnikom s strani naročnika omogočen dostop, </w:t>
      </w:r>
      <w:r w:rsidRPr="004076DC">
        <w:rPr>
          <w:rFonts w:ascii="Arial" w:eastAsia="Calibri" w:hAnsi="Arial" w:cs="Arial"/>
          <w:color w:val="FF0000"/>
          <w:sz w:val="20"/>
          <w:szCs w:val="20"/>
          <w:lang w:eastAsia="sl-SI"/>
        </w:rPr>
        <w:t xml:space="preserve">če bo naročnik prejel </w:t>
      </w:r>
      <w:r>
        <w:rPr>
          <w:rFonts w:ascii="Arial" w:eastAsia="Calibri" w:hAnsi="Arial" w:cs="Arial"/>
          <w:color w:val="FF0000"/>
          <w:sz w:val="20"/>
          <w:szCs w:val="20"/>
          <w:lang w:eastAsia="sl-SI"/>
        </w:rPr>
        <w:t xml:space="preserve">njihovo </w:t>
      </w:r>
      <w:r w:rsidRPr="004076DC">
        <w:rPr>
          <w:rFonts w:ascii="Arial" w:eastAsia="Calibri" w:hAnsi="Arial" w:cs="Arial"/>
          <w:color w:val="FF0000"/>
          <w:sz w:val="20"/>
          <w:szCs w:val="20"/>
          <w:lang w:eastAsia="sl-SI"/>
        </w:rPr>
        <w:t>prijavo za dostop do elektronskih tehničnih specifikacij do vključno 28. 4. 2023.</w:t>
      </w:r>
    </w:p>
    <w:p w:rsidR="004076DC" w:rsidRPr="004076DC" w:rsidRDefault="004076DC" w:rsidP="004076DC">
      <w:pPr>
        <w:spacing w:after="0" w:line="260" w:lineRule="exact"/>
        <w:jc w:val="both"/>
        <w:rPr>
          <w:rFonts w:ascii="Arial" w:eastAsia="Times New Roman" w:hAnsi="Arial" w:cs="Arial"/>
          <w:sz w:val="20"/>
          <w:szCs w:val="24"/>
        </w:rPr>
      </w:pPr>
    </w:p>
    <w:p w:rsidR="004076DC" w:rsidRPr="004076DC" w:rsidRDefault="004076DC" w:rsidP="004076DC">
      <w:pPr>
        <w:spacing w:after="0" w:line="260" w:lineRule="exact"/>
        <w:jc w:val="both"/>
        <w:rPr>
          <w:rFonts w:ascii="Arial" w:eastAsia="Times New Roman" w:hAnsi="Arial" w:cs="Arial"/>
          <w:sz w:val="20"/>
          <w:szCs w:val="20"/>
          <w:lang w:eastAsia="sl-SI"/>
        </w:rPr>
      </w:pPr>
      <w:r w:rsidRPr="004076DC">
        <w:rPr>
          <w:rFonts w:ascii="Arial" w:eastAsia="Times New Roman" w:hAnsi="Arial" w:cs="Arial"/>
          <w:sz w:val="20"/>
          <w:szCs w:val="24"/>
        </w:rPr>
        <w:t>Seznanitev z navedenimi elektronskimi tehničnim</w:t>
      </w:r>
      <w:bookmarkStart w:id="1" w:name="_GoBack"/>
      <w:bookmarkEnd w:id="1"/>
      <w:r w:rsidRPr="004076DC">
        <w:rPr>
          <w:rFonts w:ascii="Arial" w:eastAsia="Times New Roman" w:hAnsi="Arial" w:cs="Arial"/>
          <w:sz w:val="20"/>
          <w:szCs w:val="24"/>
        </w:rPr>
        <w:t>i specifikacijami je za potencialne ponudnike obvezna. Zainteresirani ponudniki bodo po podpisu izjave o varovanju podatkov prejeli dostop do navedenih elektronskih tehničnih specifikacij.</w:t>
      </w:r>
    </w:p>
    <w:p w:rsidR="004076DC" w:rsidRPr="004076DC" w:rsidRDefault="004076DC" w:rsidP="004076DC">
      <w:pPr>
        <w:spacing w:after="0" w:line="260" w:lineRule="exact"/>
        <w:jc w:val="both"/>
        <w:rPr>
          <w:rFonts w:ascii="Arial" w:eastAsia="Times New Roman" w:hAnsi="Arial" w:cs="Times New Roman"/>
          <w:sz w:val="20"/>
          <w:szCs w:val="24"/>
        </w:rPr>
      </w:pPr>
    </w:p>
    <w:p w:rsidR="004076DC" w:rsidRPr="004076DC" w:rsidRDefault="004076DC" w:rsidP="004076DC">
      <w:pPr>
        <w:spacing w:after="0" w:line="260" w:lineRule="exact"/>
        <w:jc w:val="both"/>
        <w:rPr>
          <w:rFonts w:ascii="Arial" w:eastAsia="Times New Roman" w:hAnsi="Arial" w:cs="Arial"/>
          <w:sz w:val="20"/>
          <w:szCs w:val="24"/>
        </w:rPr>
      </w:pPr>
      <w:r w:rsidRPr="004076DC">
        <w:rPr>
          <w:rFonts w:ascii="Arial" w:eastAsia="Times New Roman" w:hAnsi="Arial" w:cs="Arial"/>
          <w:sz w:val="20"/>
          <w:szCs w:val="24"/>
        </w:rPr>
        <w:t xml:space="preserve">Ponudniki se prijavijo za dostop do elektronskih tehničnih specifikacij po elektronski pošti na naslov: </w:t>
      </w:r>
      <w:r w:rsidRPr="004076DC">
        <w:rPr>
          <w:rFonts w:ascii="Arial" w:eastAsia="Times New Roman" w:hAnsi="Arial" w:cs="Arial"/>
          <w:sz w:val="20"/>
          <w:szCs w:val="24"/>
          <w:u w:val="single"/>
        </w:rPr>
        <w:t>gp.mnz@gov.si</w:t>
      </w:r>
      <w:r w:rsidRPr="004076DC">
        <w:rPr>
          <w:rFonts w:ascii="Arial" w:eastAsia="Times New Roman" w:hAnsi="Arial" w:cs="Arial"/>
          <w:sz w:val="20"/>
          <w:szCs w:val="24"/>
        </w:rPr>
        <w:t xml:space="preserve">, s sklicem na št. javnega naročila: 430-1802/2022, najkasneje </w:t>
      </w:r>
      <w:r w:rsidRPr="004076DC">
        <w:rPr>
          <w:rFonts w:ascii="Arial" w:eastAsia="Times New Roman" w:hAnsi="Arial" w:cs="Arial"/>
          <w:color w:val="FF0000"/>
          <w:sz w:val="20"/>
          <w:szCs w:val="24"/>
        </w:rPr>
        <w:t xml:space="preserve">do vključno 28. 4. 2023. </w:t>
      </w:r>
      <w:r w:rsidRPr="004076DC">
        <w:rPr>
          <w:rFonts w:ascii="Arial" w:eastAsia="Times New Roman" w:hAnsi="Arial" w:cs="Arial"/>
          <w:sz w:val="20"/>
          <w:szCs w:val="24"/>
        </w:rPr>
        <w:t>Ponudniki skupaj s prijavo predložijo s strani zastopnika ponudnika, elektronsko podpisano izjavo o varovanju podatkov.</w:t>
      </w:r>
    </w:p>
    <w:p w:rsidR="004076DC" w:rsidRPr="004076DC" w:rsidRDefault="004076DC" w:rsidP="004076DC">
      <w:pPr>
        <w:spacing w:after="0" w:line="260" w:lineRule="exact"/>
        <w:jc w:val="both"/>
        <w:rPr>
          <w:rFonts w:ascii="Arial" w:eastAsia="Times New Roman" w:hAnsi="Arial" w:cs="Arial"/>
          <w:sz w:val="20"/>
          <w:szCs w:val="24"/>
          <w:highlight w:val="yellow"/>
        </w:rPr>
      </w:pPr>
    </w:p>
    <w:p w:rsidR="004076DC" w:rsidRPr="004076DC" w:rsidRDefault="004076DC" w:rsidP="004076DC">
      <w:pPr>
        <w:spacing w:after="0" w:line="240" w:lineRule="atLeast"/>
        <w:jc w:val="both"/>
        <w:rPr>
          <w:rFonts w:ascii="Arial" w:eastAsia="Times New Roman" w:hAnsi="Arial" w:cs="Arial"/>
          <w:sz w:val="20"/>
          <w:szCs w:val="20"/>
          <w:lang w:eastAsia="sl-SI"/>
        </w:rPr>
      </w:pPr>
      <w:r w:rsidRPr="004076DC">
        <w:rPr>
          <w:rFonts w:ascii="Arial" w:eastAsia="Times New Roman" w:hAnsi="Arial" w:cs="Arial"/>
          <w:sz w:val="20"/>
          <w:szCs w:val="20"/>
          <w:lang w:eastAsia="sl-SI"/>
        </w:rPr>
        <w:t>Po prejemu prijave in elektronsko podpisane izjave o varovanju podatkov Priloge št. 11 razpisne dokumentacije, bodo ponudniki prejeli geslo in povezavo za prevzem elektronskih tehničnih specifikacij, na elektronski naslov, ki ga bodo navedli v prijavi.</w:t>
      </w:r>
    </w:p>
    <w:p w:rsidR="004076DC" w:rsidRPr="004076DC" w:rsidRDefault="004076DC" w:rsidP="004076DC">
      <w:pPr>
        <w:spacing w:after="0" w:line="260" w:lineRule="exact"/>
        <w:jc w:val="both"/>
        <w:rPr>
          <w:rFonts w:ascii="Arial" w:eastAsia="Times New Roman" w:hAnsi="Arial" w:cs="Arial"/>
          <w:sz w:val="20"/>
          <w:szCs w:val="24"/>
          <w:highlight w:val="yellow"/>
        </w:rPr>
      </w:pPr>
    </w:p>
    <w:p w:rsidR="004076DC" w:rsidRPr="004076DC" w:rsidRDefault="004076DC" w:rsidP="004076DC">
      <w:pPr>
        <w:spacing w:after="0" w:line="240" w:lineRule="atLeast"/>
        <w:rPr>
          <w:rFonts w:ascii="Times New Roman" w:eastAsia="Times New Roman" w:hAnsi="Times New Roman" w:cs="Times New Roman"/>
          <w:lang w:eastAsia="sl-SI"/>
        </w:rPr>
      </w:pPr>
    </w:p>
    <w:p w:rsidR="004076DC" w:rsidRPr="004076DC" w:rsidRDefault="004076DC" w:rsidP="004076DC">
      <w:pPr>
        <w:tabs>
          <w:tab w:val="left" w:pos="360"/>
        </w:tabs>
        <w:spacing w:after="0" w:line="260" w:lineRule="exact"/>
        <w:jc w:val="both"/>
        <w:rPr>
          <w:rFonts w:ascii="Arial" w:eastAsia="Times New Roman" w:hAnsi="Arial" w:cs="Arial"/>
          <w:b/>
          <w:sz w:val="20"/>
          <w:szCs w:val="20"/>
          <w:lang w:eastAsia="sl-SI"/>
        </w:rPr>
      </w:pPr>
      <w:r w:rsidRPr="004076DC">
        <w:rPr>
          <w:rFonts w:ascii="Arial" w:eastAsia="Times New Roman" w:hAnsi="Arial" w:cs="Arial"/>
          <w:b/>
          <w:sz w:val="20"/>
          <w:szCs w:val="20"/>
          <w:lang w:eastAsia="sl-SI"/>
        </w:rPr>
        <w:t>1.1</w:t>
      </w:r>
      <w:r w:rsidRPr="004076DC">
        <w:rPr>
          <w:rFonts w:ascii="Arial" w:eastAsia="Times New Roman" w:hAnsi="Arial" w:cs="Arial"/>
          <w:b/>
          <w:sz w:val="20"/>
          <w:szCs w:val="20"/>
          <w:lang w:eastAsia="sl-SI"/>
        </w:rPr>
        <w:tab/>
        <w:t>Vsebinska področja predmeta javnega naročila</w:t>
      </w:r>
    </w:p>
    <w:p w:rsidR="004076DC" w:rsidRPr="004076DC" w:rsidRDefault="004076DC" w:rsidP="004076DC">
      <w:pPr>
        <w:spacing w:after="0" w:line="260" w:lineRule="exact"/>
        <w:rPr>
          <w:rFonts w:ascii="Arial" w:eastAsia="Times New Roman" w:hAnsi="Arial" w:cs="Arial"/>
          <w:sz w:val="20"/>
          <w:szCs w:val="20"/>
          <w:lang w:eastAsia="sl-SI"/>
        </w:rPr>
      </w:pPr>
    </w:p>
    <w:p w:rsidR="004076DC" w:rsidRPr="004076DC" w:rsidRDefault="004076DC" w:rsidP="004076DC">
      <w:pPr>
        <w:tabs>
          <w:tab w:val="left" w:pos="360"/>
        </w:tabs>
        <w:spacing w:after="0" w:line="260" w:lineRule="exact"/>
        <w:jc w:val="both"/>
        <w:rPr>
          <w:rFonts w:ascii="Arial" w:eastAsia="Times New Roman" w:hAnsi="Arial" w:cs="Arial"/>
          <w:b/>
          <w:sz w:val="20"/>
          <w:szCs w:val="20"/>
          <w:lang w:eastAsia="sl-SI"/>
        </w:rPr>
      </w:pPr>
      <w:r w:rsidRPr="004076DC">
        <w:rPr>
          <w:rFonts w:ascii="Arial" w:eastAsia="Times New Roman" w:hAnsi="Arial" w:cs="Arial"/>
          <w:b/>
          <w:sz w:val="20"/>
          <w:szCs w:val="20"/>
          <w:lang w:eastAsia="sl-SI"/>
        </w:rPr>
        <w:t>Nadzorni seznam ETIAS (ETIAS WL) in ETIAS ICD operacije</w:t>
      </w:r>
    </w:p>
    <w:p w:rsidR="004076DC" w:rsidRPr="004076DC" w:rsidRDefault="004076DC" w:rsidP="004076DC">
      <w:pPr>
        <w:tabs>
          <w:tab w:val="left" w:pos="360"/>
        </w:tabs>
        <w:spacing w:after="0" w:line="260" w:lineRule="exact"/>
        <w:jc w:val="both"/>
        <w:rPr>
          <w:rFonts w:ascii="Arial" w:eastAsia="Times New Roman" w:hAnsi="Arial" w:cs="Arial"/>
          <w:b/>
          <w:sz w:val="20"/>
          <w:szCs w:val="20"/>
          <w:lang w:eastAsia="sl-SI"/>
        </w:rPr>
      </w:pPr>
    </w:p>
    <w:p w:rsidR="004076DC" w:rsidRPr="004076DC" w:rsidRDefault="004076DC" w:rsidP="004076DC">
      <w:pPr>
        <w:autoSpaceDE w:val="0"/>
        <w:autoSpaceDN w:val="0"/>
        <w:adjustRightInd w:val="0"/>
        <w:spacing w:after="0" w:line="260" w:lineRule="exact"/>
        <w:jc w:val="both"/>
        <w:rPr>
          <w:rFonts w:ascii="Arial" w:eastAsia="Calibri" w:hAnsi="Arial" w:cs="Arial"/>
          <w:color w:val="000000"/>
          <w:sz w:val="20"/>
          <w:szCs w:val="20"/>
        </w:rPr>
      </w:pPr>
      <w:r w:rsidRPr="004076DC">
        <w:rPr>
          <w:rFonts w:ascii="Arial" w:eastAsia="Calibri" w:hAnsi="Arial" w:cs="Arial"/>
          <w:color w:val="000000"/>
          <w:sz w:val="20"/>
          <w:szCs w:val="20"/>
        </w:rPr>
        <w:t>V skladu s 34. členom uredbe ETIAS (</w:t>
      </w:r>
      <w:r w:rsidRPr="004076DC">
        <w:rPr>
          <w:rFonts w:ascii="Arial" w:eastAsia="Calibri" w:hAnsi="Arial" w:cs="Arial"/>
          <w:bCs/>
          <w:color w:val="000000"/>
          <w:sz w:val="20"/>
          <w:szCs w:val="20"/>
        </w:rPr>
        <w:t>UREDBA (EU) 2018/1240 EVROPSKEGA PARLAMENTA IN SVETA z dne 12. septembra 2018 o vzpostavitvi Evropskega sistema za potovalne informacije in odobritve (ETIAS) ter spremembi uredb (EU) št. 1077/2011, (EU) št. 515/2014, (EU) 2016/399, (EU) 2016/1624 in (EU) 2017/2226</w:t>
      </w:r>
      <w:r w:rsidRPr="004076DC">
        <w:rPr>
          <w:rFonts w:ascii="Arial" w:eastAsia="Calibri" w:hAnsi="Arial" w:cs="Arial"/>
          <w:color w:val="000000"/>
          <w:sz w:val="20"/>
          <w:szCs w:val="20"/>
        </w:rPr>
        <w:t>) je potrebno pripraviti informacijsko rešitev »Nadzorni seznam ETIAS ali ETIAS Watchlist (ETIAS WL).</w:t>
      </w:r>
    </w:p>
    <w:p w:rsidR="004076DC" w:rsidRPr="004076DC" w:rsidRDefault="004076DC" w:rsidP="004076DC">
      <w:pPr>
        <w:numPr>
          <w:ilvl w:val="0"/>
          <w:numId w:val="2"/>
        </w:numPr>
        <w:autoSpaceDE w:val="0"/>
        <w:autoSpaceDN w:val="0"/>
        <w:adjustRightInd w:val="0"/>
        <w:spacing w:before="60" w:after="60" w:line="260" w:lineRule="exact"/>
        <w:ind w:left="426" w:hanging="426"/>
        <w:rPr>
          <w:rFonts w:ascii="Arial" w:eastAsia="Calibri" w:hAnsi="Arial" w:cs="Arial"/>
          <w:color w:val="000000"/>
          <w:sz w:val="20"/>
          <w:szCs w:val="20"/>
        </w:rPr>
      </w:pPr>
      <w:r w:rsidRPr="004076DC">
        <w:rPr>
          <w:rFonts w:ascii="Arial" w:eastAsia="Calibri" w:hAnsi="Arial" w:cs="Arial"/>
          <w:color w:val="000000"/>
          <w:sz w:val="20"/>
          <w:szCs w:val="20"/>
        </w:rPr>
        <w:t xml:space="preserve">Nadzorni seznam ETIAS vsebuje podatke v zvezi z osebami, ki so osumljene storitve terorističnega kaznivega dejanja ali drugega hudega kaznivega dejanja ali udeležbe pri njem, ali osebe, za katere na podlagi celovite ocene osebe obstajajo stvarni indici ali utemeljeni razlogi za sum, da bodo storile teroristično kaznivo dejanje ali drugo hudo kaznivo dejanje. Nadzorni seznam ETIAS je del centralnega sistema ETIAS. </w:t>
      </w:r>
    </w:p>
    <w:p w:rsidR="004076DC" w:rsidRPr="004076DC" w:rsidRDefault="004076DC" w:rsidP="004076DC">
      <w:pPr>
        <w:numPr>
          <w:ilvl w:val="0"/>
          <w:numId w:val="2"/>
        </w:numPr>
        <w:autoSpaceDE w:val="0"/>
        <w:autoSpaceDN w:val="0"/>
        <w:adjustRightInd w:val="0"/>
        <w:spacing w:before="60" w:after="60" w:line="260" w:lineRule="exact"/>
        <w:ind w:left="426" w:hanging="426"/>
        <w:rPr>
          <w:rFonts w:ascii="Arial" w:eastAsia="Calibri" w:hAnsi="Arial" w:cs="Arial"/>
          <w:color w:val="000000"/>
          <w:sz w:val="20"/>
          <w:szCs w:val="20"/>
        </w:rPr>
      </w:pPr>
      <w:r w:rsidRPr="004076DC">
        <w:rPr>
          <w:rFonts w:ascii="Arial" w:eastAsia="Calibri" w:hAnsi="Arial" w:cs="Arial"/>
          <w:color w:val="000000"/>
          <w:sz w:val="20"/>
          <w:szCs w:val="20"/>
        </w:rPr>
        <w:t xml:space="preserve">Nadzorni seznam ETIAS temelji na informacijah v zvezi s terorističnimi kaznivimi dejanji ali drugimi hudimi kaznivimi dejanji. </w:t>
      </w:r>
    </w:p>
    <w:p w:rsidR="0020060E" w:rsidRDefault="0020060E"/>
    <w:sectPr w:rsidR="0020060E">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76DC" w:rsidRDefault="004076DC" w:rsidP="004076DC">
      <w:pPr>
        <w:spacing w:after="0" w:line="240" w:lineRule="auto"/>
      </w:pPr>
      <w:r>
        <w:separator/>
      </w:r>
    </w:p>
  </w:endnote>
  <w:endnote w:type="continuationSeparator" w:id="0">
    <w:p w:rsidR="004076DC" w:rsidRDefault="004076DC" w:rsidP="004076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76DC" w:rsidRDefault="004076DC" w:rsidP="004076DC">
      <w:pPr>
        <w:spacing w:after="0" w:line="240" w:lineRule="auto"/>
      </w:pPr>
      <w:r>
        <w:separator/>
      </w:r>
    </w:p>
  </w:footnote>
  <w:footnote w:type="continuationSeparator" w:id="0">
    <w:p w:rsidR="004076DC" w:rsidRDefault="004076DC" w:rsidP="004076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76DC" w:rsidRDefault="004076DC">
    <w:pPr>
      <w:pStyle w:val="Glava"/>
    </w:pPr>
    <w:r>
      <w:tab/>
    </w:r>
    <w:r>
      <w:tab/>
    </w:r>
    <w:r w:rsidRPr="00B465B2">
      <w:rPr>
        <w:rFonts w:ascii="Arial" w:hAnsi="Arial" w:cs="Arial"/>
        <w:b/>
        <w:bCs/>
        <w:noProof/>
      </w:rPr>
      <w:drawing>
        <wp:inline distT="0" distB="0" distL="0" distR="0" wp14:anchorId="47214B26" wp14:editId="634CCEEA">
          <wp:extent cx="542925" cy="602719"/>
          <wp:effectExtent l="0" t="0" r="0" b="6985"/>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1183" cy="645190"/>
                  </a:xfrm>
                  <a:prstGeom prst="rect">
                    <a:avLst/>
                  </a:prstGeom>
                  <a:noFill/>
                  <a:ln>
                    <a:noFill/>
                  </a:ln>
                </pic:spPr>
              </pic:pic>
            </a:graphicData>
          </a:graphic>
        </wp:inline>
      </w:drawing>
    </w:r>
    <w:r w:rsidRPr="004076DC">
      <w:rPr>
        <w:rFonts w:ascii="Times New Roman" w:eastAsia="Times New Roman" w:hAnsi="Times New Roman" w:cs="Times New Roman"/>
        <w:noProof/>
        <w:lang w:eastAsia="sl-SI"/>
      </w:rPr>
      <w:drawing>
        <wp:inline distT="0" distB="0" distL="0" distR="0" wp14:anchorId="356E8F8F" wp14:editId="6D862368">
          <wp:extent cx="559558" cy="607917"/>
          <wp:effectExtent l="0" t="0" r="0" b="190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7083" cy="670414"/>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FC0BC6"/>
    <w:multiLevelType w:val="multilevel"/>
    <w:tmpl w:val="6E14540E"/>
    <w:lvl w:ilvl="0">
      <w:start w:val="1"/>
      <w:numFmt w:val="decimal"/>
      <w:lvlText w:val="%1."/>
      <w:lvlJc w:val="left"/>
      <w:pPr>
        <w:ind w:left="426" w:hanging="360"/>
      </w:pPr>
      <w:rPr>
        <w:rFonts w:hint="default"/>
        <w:b/>
      </w:rPr>
    </w:lvl>
    <w:lvl w:ilvl="1">
      <w:start w:val="3"/>
      <w:numFmt w:val="decimal"/>
      <w:isLgl/>
      <w:lvlText w:val="%1.%2"/>
      <w:lvlJc w:val="left"/>
      <w:pPr>
        <w:ind w:left="426" w:hanging="360"/>
      </w:pPr>
      <w:rPr>
        <w:rFonts w:hint="default"/>
      </w:rPr>
    </w:lvl>
    <w:lvl w:ilvl="2">
      <w:start w:val="1"/>
      <w:numFmt w:val="decimal"/>
      <w:isLgl/>
      <w:lvlText w:val="%1.%2.%3"/>
      <w:lvlJc w:val="left"/>
      <w:pPr>
        <w:ind w:left="786" w:hanging="720"/>
      </w:pPr>
      <w:rPr>
        <w:rFonts w:hint="default"/>
      </w:rPr>
    </w:lvl>
    <w:lvl w:ilvl="3">
      <w:start w:val="1"/>
      <w:numFmt w:val="decimal"/>
      <w:isLgl/>
      <w:lvlText w:val="%1.%2.%3.%4"/>
      <w:lvlJc w:val="left"/>
      <w:pPr>
        <w:ind w:left="786" w:hanging="720"/>
      </w:pPr>
      <w:rPr>
        <w:rFonts w:hint="default"/>
      </w:rPr>
    </w:lvl>
    <w:lvl w:ilvl="4">
      <w:start w:val="1"/>
      <w:numFmt w:val="decimal"/>
      <w:isLgl/>
      <w:lvlText w:val="%1.%2.%3.%4.%5"/>
      <w:lvlJc w:val="left"/>
      <w:pPr>
        <w:ind w:left="1146" w:hanging="1080"/>
      </w:pPr>
      <w:rPr>
        <w:rFonts w:hint="default"/>
      </w:rPr>
    </w:lvl>
    <w:lvl w:ilvl="5">
      <w:start w:val="1"/>
      <w:numFmt w:val="decimal"/>
      <w:isLgl/>
      <w:lvlText w:val="%1.%2.%3.%4.%5.%6"/>
      <w:lvlJc w:val="left"/>
      <w:pPr>
        <w:ind w:left="1146" w:hanging="1080"/>
      </w:pPr>
      <w:rPr>
        <w:rFonts w:hint="default"/>
      </w:rPr>
    </w:lvl>
    <w:lvl w:ilvl="6">
      <w:start w:val="1"/>
      <w:numFmt w:val="decimal"/>
      <w:isLgl/>
      <w:lvlText w:val="%1.%2.%3.%4.%5.%6.%7"/>
      <w:lvlJc w:val="left"/>
      <w:pPr>
        <w:ind w:left="1506" w:hanging="1440"/>
      </w:pPr>
      <w:rPr>
        <w:rFonts w:hint="default"/>
      </w:rPr>
    </w:lvl>
    <w:lvl w:ilvl="7">
      <w:start w:val="1"/>
      <w:numFmt w:val="decimal"/>
      <w:isLgl/>
      <w:lvlText w:val="%1.%2.%3.%4.%5.%6.%7.%8"/>
      <w:lvlJc w:val="left"/>
      <w:pPr>
        <w:ind w:left="1506" w:hanging="1440"/>
      </w:pPr>
      <w:rPr>
        <w:rFonts w:hint="default"/>
      </w:rPr>
    </w:lvl>
    <w:lvl w:ilvl="8">
      <w:start w:val="1"/>
      <w:numFmt w:val="decimal"/>
      <w:isLgl/>
      <w:lvlText w:val="%1.%2.%3.%4.%5.%6.%7.%8.%9"/>
      <w:lvlJc w:val="left"/>
      <w:pPr>
        <w:ind w:left="1866" w:hanging="1800"/>
      </w:pPr>
      <w:rPr>
        <w:rFonts w:hint="default"/>
      </w:rPr>
    </w:lvl>
  </w:abstractNum>
  <w:abstractNum w:abstractNumId="1" w15:restartNumberingAfterBreak="0">
    <w:nsid w:val="5A095471"/>
    <w:multiLevelType w:val="hybridMultilevel"/>
    <w:tmpl w:val="5A6AE84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6DC"/>
    <w:rsid w:val="0020060E"/>
    <w:rsid w:val="004076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91BC9"/>
  <w15:chartTrackingRefBased/>
  <w15:docId w15:val="{1845C114-6639-4737-BC3C-3A59E86F6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4076DC"/>
    <w:pPr>
      <w:tabs>
        <w:tab w:val="center" w:pos="4536"/>
        <w:tab w:val="right" w:pos="9072"/>
      </w:tabs>
      <w:spacing w:after="0" w:line="240" w:lineRule="auto"/>
    </w:pPr>
  </w:style>
  <w:style w:type="character" w:customStyle="1" w:styleId="GlavaZnak">
    <w:name w:val="Glava Znak"/>
    <w:basedOn w:val="Privzetapisavaodstavka"/>
    <w:link w:val="Glava"/>
    <w:uiPriority w:val="99"/>
    <w:rsid w:val="004076DC"/>
  </w:style>
  <w:style w:type="paragraph" w:styleId="Noga">
    <w:name w:val="footer"/>
    <w:basedOn w:val="Navaden"/>
    <w:link w:val="NogaZnak"/>
    <w:uiPriority w:val="99"/>
    <w:unhideWhenUsed/>
    <w:rsid w:val="004076DC"/>
    <w:pPr>
      <w:tabs>
        <w:tab w:val="center" w:pos="4536"/>
        <w:tab w:val="right" w:pos="9072"/>
      </w:tabs>
      <w:spacing w:after="0" w:line="240" w:lineRule="auto"/>
    </w:pPr>
  </w:style>
  <w:style w:type="character" w:customStyle="1" w:styleId="NogaZnak">
    <w:name w:val="Noga Znak"/>
    <w:basedOn w:val="Privzetapisavaodstavka"/>
    <w:link w:val="Noga"/>
    <w:uiPriority w:val="99"/>
    <w:rsid w:val="004076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428</Words>
  <Characters>2441</Characters>
  <Application>Microsoft Office Word</Application>
  <DocSecurity>0</DocSecurity>
  <Lines>20</Lines>
  <Paragraphs>5</Paragraphs>
  <ScaleCrop>false</ScaleCrop>
  <Company>GPU UIT</Company>
  <LinksUpToDate>false</LinksUpToDate>
  <CharactersWithSpaces>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Dular</dc:creator>
  <cp:keywords/>
  <dc:description/>
  <cp:lastModifiedBy>Robert Dular</cp:lastModifiedBy>
  <cp:revision>1</cp:revision>
  <dcterms:created xsi:type="dcterms:W3CDTF">2023-04-19T09:09:00Z</dcterms:created>
  <dcterms:modified xsi:type="dcterms:W3CDTF">2023-04-19T09:16:00Z</dcterms:modified>
</cp:coreProperties>
</file>